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1C9C" w14:textId="77777777" w:rsidR="00AC3F0E" w:rsidRDefault="00AC3F0E"/>
    <w:p w14:paraId="0F964E66" w14:textId="77777777" w:rsidR="00AC3F0E" w:rsidRDefault="00AC3F0E"/>
    <w:tbl>
      <w:tblPr>
        <w:tblW w:w="13244" w:type="dxa"/>
        <w:tblInd w:w="606" w:type="dxa"/>
        <w:tblCellMar>
          <w:left w:w="0" w:type="dxa"/>
          <w:right w:w="0" w:type="dxa"/>
        </w:tblCellMar>
        <w:tblLook w:val="04A0" w:firstRow="1" w:lastRow="0" w:firstColumn="1" w:lastColumn="0" w:noHBand="0" w:noVBand="1"/>
      </w:tblPr>
      <w:tblGrid>
        <w:gridCol w:w="2264"/>
        <w:gridCol w:w="2430"/>
        <w:gridCol w:w="3600"/>
        <w:gridCol w:w="1440"/>
        <w:gridCol w:w="3510"/>
      </w:tblGrid>
      <w:tr w:rsidR="00AC3F0E" w:rsidRPr="00AC3F0E" w14:paraId="3D4D6F2A" w14:textId="77777777" w:rsidTr="00AC3F0E">
        <w:trPr>
          <w:trHeight w:val="288"/>
        </w:trPr>
        <w:tc>
          <w:tcPr>
            <w:tcW w:w="2264" w:type="dxa"/>
            <w:tcBorders>
              <w:top w:val="single" w:sz="8" w:space="0" w:color="auto"/>
              <w:left w:val="single" w:sz="8" w:space="0" w:color="auto"/>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1F17E3DE" w14:textId="77777777" w:rsidR="00AC3F0E" w:rsidRPr="00AC3F0E" w:rsidRDefault="00AC3F0E" w:rsidP="00AC3F0E">
            <w:pPr>
              <w:rPr>
                <w:b/>
                <w:bCs/>
                <w:sz w:val="18"/>
                <w:szCs w:val="18"/>
              </w:rPr>
            </w:pPr>
            <w:r w:rsidRPr="00AC3F0E">
              <w:rPr>
                <w:b/>
                <w:bCs/>
                <w:sz w:val="18"/>
                <w:szCs w:val="18"/>
              </w:rPr>
              <w:t>Item</w:t>
            </w:r>
          </w:p>
        </w:tc>
        <w:tc>
          <w:tcPr>
            <w:tcW w:w="243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728D86F3" w14:textId="77777777" w:rsidR="00AC3F0E" w:rsidRPr="00AC3F0E" w:rsidRDefault="00AC3F0E" w:rsidP="00AC3F0E">
            <w:pPr>
              <w:rPr>
                <w:b/>
                <w:bCs/>
                <w:sz w:val="18"/>
                <w:szCs w:val="18"/>
              </w:rPr>
            </w:pPr>
            <w:r w:rsidRPr="00AC3F0E">
              <w:rPr>
                <w:b/>
                <w:bCs/>
                <w:sz w:val="18"/>
                <w:szCs w:val="18"/>
              </w:rPr>
              <w:t>Category</w:t>
            </w:r>
          </w:p>
        </w:tc>
        <w:tc>
          <w:tcPr>
            <w:tcW w:w="360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3A7F072C" w14:textId="77777777" w:rsidR="00AC3F0E" w:rsidRPr="00AC3F0E" w:rsidRDefault="00AC3F0E" w:rsidP="00AC3F0E">
            <w:pPr>
              <w:rPr>
                <w:b/>
                <w:bCs/>
                <w:sz w:val="18"/>
                <w:szCs w:val="18"/>
              </w:rPr>
            </w:pPr>
            <w:r w:rsidRPr="00AC3F0E">
              <w:rPr>
                <w:b/>
                <w:bCs/>
                <w:sz w:val="18"/>
                <w:szCs w:val="18"/>
              </w:rPr>
              <w:t>Status &amp;Challenges</w:t>
            </w:r>
          </w:p>
        </w:tc>
        <w:tc>
          <w:tcPr>
            <w:tcW w:w="144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3642F63B" w14:textId="77777777" w:rsidR="00AC3F0E" w:rsidRPr="00AC3F0E" w:rsidRDefault="00AC3F0E" w:rsidP="00AC3F0E">
            <w:pPr>
              <w:rPr>
                <w:b/>
                <w:bCs/>
                <w:sz w:val="18"/>
                <w:szCs w:val="18"/>
              </w:rPr>
            </w:pPr>
            <w:r w:rsidRPr="00AC3F0E">
              <w:rPr>
                <w:b/>
                <w:bCs/>
                <w:sz w:val="18"/>
                <w:szCs w:val="18"/>
              </w:rPr>
              <w:t>Priority Weight</w:t>
            </w:r>
          </w:p>
        </w:tc>
        <w:tc>
          <w:tcPr>
            <w:tcW w:w="3510" w:type="dxa"/>
            <w:tcBorders>
              <w:top w:val="single" w:sz="8" w:space="0" w:color="auto"/>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41ED07B4" w14:textId="77777777" w:rsidR="00AC3F0E" w:rsidRPr="00AC3F0E" w:rsidRDefault="00AC3F0E" w:rsidP="00AC3F0E">
            <w:pPr>
              <w:rPr>
                <w:b/>
                <w:bCs/>
                <w:sz w:val="18"/>
                <w:szCs w:val="18"/>
              </w:rPr>
            </w:pPr>
            <w:r w:rsidRPr="00AC3F0E">
              <w:rPr>
                <w:b/>
                <w:bCs/>
                <w:sz w:val="18"/>
                <w:szCs w:val="18"/>
              </w:rPr>
              <w:t xml:space="preserve">Responsible </w:t>
            </w:r>
          </w:p>
        </w:tc>
      </w:tr>
      <w:tr w:rsidR="00AC3F0E" w:rsidRPr="00AC3F0E" w14:paraId="10ABE2EE" w14:textId="77777777" w:rsidTr="00AC3F0E">
        <w:trPr>
          <w:trHeight w:val="2112"/>
        </w:trPr>
        <w:tc>
          <w:tcPr>
            <w:tcW w:w="226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AE71E0" w14:textId="77777777" w:rsidR="00AC3F0E" w:rsidRPr="00AC3F0E" w:rsidRDefault="00AC3F0E" w:rsidP="00AC3F0E">
            <w:pPr>
              <w:rPr>
                <w:sz w:val="18"/>
                <w:szCs w:val="18"/>
              </w:rPr>
            </w:pPr>
            <w:r w:rsidRPr="00AC3F0E">
              <w:rPr>
                <w:sz w:val="18"/>
                <w:szCs w:val="18"/>
              </w:rPr>
              <w:t>ATM System Performance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hideMark/>
          </w:tcPr>
          <w:p w14:paraId="6553937C" w14:textId="77777777" w:rsidR="00AC3F0E" w:rsidRPr="00AC3F0E" w:rsidRDefault="00AC3F0E" w:rsidP="00AC3F0E">
            <w:pPr>
              <w:rPr>
                <w:sz w:val="18"/>
                <w:szCs w:val="18"/>
              </w:rPr>
            </w:pPr>
            <w:r w:rsidRPr="00AC3F0E">
              <w:rPr>
                <w:sz w:val="18"/>
                <w:szCs w:val="18"/>
              </w:rPr>
              <w:t>Operating system response</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14461B43" w14:textId="2268236F" w:rsidR="00AC3F0E" w:rsidRPr="00AC3F0E" w:rsidRDefault="00AC3F0E" w:rsidP="00AC3F0E">
            <w:pPr>
              <w:rPr>
                <w:sz w:val="18"/>
                <w:szCs w:val="18"/>
              </w:rPr>
            </w:pPr>
            <w:r w:rsidRPr="00AC3F0E">
              <w:rPr>
                <w:sz w:val="18"/>
                <w:szCs w:val="18"/>
              </w:rPr>
              <w:t xml:space="preserve">Performance still noted okay. However, delay realized at machine reboot back in service   </w:t>
            </w:r>
          </w:p>
          <w:p w14:paraId="6090967B" w14:textId="77777777" w:rsidR="00AC3F0E" w:rsidRPr="00AC3F0E" w:rsidRDefault="00AC3F0E" w:rsidP="00AC3F0E">
            <w:pPr>
              <w:rPr>
                <w:sz w:val="18"/>
                <w:szCs w:val="18"/>
              </w:rPr>
            </w:pPr>
            <w:r w:rsidRPr="00AC3F0E">
              <w:rPr>
                <w:sz w:val="18"/>
                <w:szCs w:val="18"/>
              </w:rPr>
              <w:t>Remark.</w:t>
            </w:r>
          </w:p>
          <w:p w14:paraId="25E9CEEB" w14:textId="071D12F9" w:rsidR="00AC3F0E" w:rsidRPr="00AC3F0E" w:rsidRDefault="00AC3F0E" w:rsidP="00AC3F0E">
            <w:pPr>
              <w:rPr>
                <w:sz w:val="18"/>
                <w:szCs w:val="18"/>
              </w:rPr>
            </w:pPr>
            <w:r w:rsidRPr="00AC3F0E">
              <w:rPr>
                <w:sz w:val="18"/>
                <w:szCs w:val="18"/>
              </w:rPr>
              <w:t>Delay time to come in service attributed to IATM application</w:t>
            </w:r>
            <w:r>
              <w:rPr>
                <w:sz w:val="18"/>
                <w:szCs w:val="18"/>
              </w:rPr>
              <w:t>.</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5B3C5DF"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2CBAADD7" w14:textId="77777777" w:rsidR="00AC3F0E" w:rsidRPr="00AC3F0E" w:rsidRDefault="00AC3F0E" w:rsidP="00AC3F0E">
            <w:pPr>
              <w:rPr>
                <w:sz w:val="18"/>
                <w:szCs w:val="18"/>
              </w:rPr>
            </w:pPr>
            <w:r w:rsidRPr="00AC3F0E">
              <w:rPr>
                <w:sz w:val="18"/>
                <w:szCs w:val="18"/>
              </w:rPr>
              <w:t>MC team, Sybyl</w:t>
            </w:r>
          </w:p>
        </w:tc>
      </w:tr>
      <w:tr w:rsidR="00AC3F0E" w:rsidRPr="00AC3F0E" w14:paraId="718F4959"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2D2D856D"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hideMark/>
          </w:tcPr>
          <w:p w14:paraId="46646C95" w14:textId="77777777" w:rsidR="00AC3F0E" w:rsidRPr="00AC3F0E" w:rsidRDefault="00AC3F0E" w:rsidP="00AC3F0E">
            <w:pPr>
              <w:rPr>
                <w:sz w:val="18"/>
                <w:szCs w:val="18"/>
              </w:rPr>
            </w:pPr>
            <w:r w:rsidRPr="00AC3F0E">
              <w:rPr>
                <w:sz w:val="18"/>
                <w:szCs w:val="18"/>
              </w:rPr>
              <w:t>IATM application response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5A65CA2" w14:textId="77777777" w:rsidR="00AC3F0E" w:rsidRPr="00AC3F0E" w:rsidRDefault="00AC3F0E" w:rsidP="00AC3F0E">
            <w:pPr>
              <w:rPr>
                <w:sz w:val="18"/>
                <w:szCs w:val="18"/>
              </w:rPr>
            </w:pPr>
            <w:r w:rsidRPr="00AC3F0E">
              <w:rPr>
                <w:sz w:val="18"/>
                <w:szCs w:val="18"/>
              </w:rPr>
              <w:t>IAtm Application response noted fine after terminal is back in service and not affected by solid core locked state mode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A3C77CA"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6CCC380D" w14:textId="77777777" w:rsidR="00AC3F0E" w:rsidRPr="00AC3F0E" w:rsidRDefault="00AC3F0E" w:rsidP="00AC3F0E">
            <w:pPr>
              <w:rPr>
                <w:sz w:val="18"/>
                <w:szCs w:val="18"/>
              </w:rPr>
            </w:pPr>
            <w:r w:rsidRPr="00AC3F0E">
              <w:rPr>
                <w:sz w:val="18"/>
                <w:szCs w:val="18"/>
              </w:rPr>
              <w:t>MC team, Sybyl</w:t>
            </w:r>
          </w:p>
        </w:tc>
      </w:tr>
      <w:tr w:rsidR="00AC3F0E" w:rsidRPr="00AC3F0E" w14:paraId="02F0B5C4" w14:textId="77777777" w:rsidTr="00AC3F0E">
        <w:trPr>
          <w:trHeight w:val="1152"/>
        </w:trPr>
        <w:tc>
          <w:tcPr>
            <w:tcW w:w="2264" w:type="dxa"/>
            <w:vMerge/>
            <w:tcBorders>
              <w:top w:val="nil"/>
              <w:left w:val="single" w:sz="8" w:space="0" w:color="auto"/>
              <w:bottom w:val="single" w:sz="8" w:space="0" w:color="auto"/>
              <w:right w:val="single" w:sz="8" w:space="0" w:color="auto"/>
            </w:tcBorders>
            <w:vAlign w:val="center"/>
            <w:hideMark/>
          </w:tcPr>
          <w:p w14:paraId="20FDDAA3"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hideMark/>
          </w:tcPr>
          <w:p w14:paraId="45B96A11" w14:textId="77777777" w:rsidR="00AC3F0E" w:rsidRPr="00AC3F0E" w:rsidRDefault="00AC3F0E" w:rsidP="00AC3F0E">
            <w:pPr>
              <w:rPr>
                <w:sz w:val="18"/>
                <w:szCs w:val="18"/>
              </w:rPr>
            </w:pPr>
            <w:r w:rsidRPr="00AC3F0E">
              <w:rPr>
                <w:sz w:val="18"/>
                <w:szCs w:val="18"/>
              </w:rPr>
              <w:t>Patch and Updates Management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734334BB" w14:textId="0628E162" w:rsidR="00AC3F0E" w:rsidRPr="00AC3F0E" w:rsidRDefault="00AC3F0E" w:rsidP="00AC3F0E">
            <w:pPr>
              <w:rPr>
                <w:sz w:val="18"/>
                <w:szCs w:val="18"/>
              </w:rPr>
            </w:pPr>
            <w:r w:rsidRPr="00AC3F0E">
              <w:rPr>
                <w:sz w:val="18"/>
                <w:szCs w:val="18"/>
              </w:rPr>
              <w:t>Patching noted fine, however noted challenge on updating files during replacement. Issued resolved by manual change over to update mode</w:t>
            </w:r>
            <w:r>
              <w:rPr>
                <w:sz w:val="18"/>
                <w:szCs w:val="18"/>
              </w:rPr>
              <w:t>.</w:t>
            </w:r>
          </w:p>
          <w:p w14:paraId="744AE064" w14:textId="77777777" w:rsidR="00AC3F0E" w:rsidRPr="00AC3F0E" w:rsidRDefault="00AC3F0E" w:rsidP="00AC3F0E">
            <w:pPr>
              <w:rPr>
                <w:sz w:val="18"/>
                <w:szCs w:val="18"/>
              </w:rPr>
            </w:pPr>
            <w:r w:rsidRPr="00AC3F0E">
              <w:rPr>
                <w:sz w:val="18"/>
                <w:szCs w:val="18"/>
              </w:rPr>
              <w:t>For terminal in locked state, no patching is expected to happen as this may as well stall/freeze machine operation.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78F6345"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52E05383" w14:textId="77777777" w:rsidR="00AC3F0E" w:rsidRPr="00AC3F0E" w:rsidRDefault="00AC3F0E" w:rsidP="00AC3F0E">
            <w:pPr>
              <w:rPr>
                <w:sz w:val="18"/>
                <w:szCs w:val="18"/>
              </w:rPr>
            </w:pPr>
            <w:r w:rsidRPr="00AC3F0E">
              <w:rPr>
                <w:sz w:val="18"/>
                <w:szCs w:val="18"/>
              </w:rPr>
              <w:t>MC team, Sybyl, Solid core team</w:t>
            </w:r>
          </w:p>
        </w:tc>
      </w:tr>
      <w:tr w:rsidR="00AC3F0E" w:rsidRPr="00AC3F0E" w14:paraId="7AED8FB8" w14:textId="77777777" w:rsidTr="00AC3F0E">
        <w:trPr>
          <w:trHeight w:val="2016"/>
        </w:trPr>
        <w:tc>
          <w:tcPr>
            <w:tcW w:w="2264" w:type="dxa"/>
            <w:vMerge/>
            <w:tcBorders>
              <w:top w:val="nil"/>
              <w:left w:val="single" w:sz="8" w:space="0" w:color="auto"/>
              <w:bottom w:val="single" w:sz="8" w:space="0" w:color="auto"/>
              <w:right w:val="single" w:sz="8" w:space="0" w:color="auto"/>
            </w:tcBorders>
            <w:vAlign w:val="center"/>
            <w:hideMark/>
          </w:tcPr>
          <w:p w14:paraId="6779C644"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hideMark/>
          </w:tcPr>
          <w:p w14:paraId="45B80309" w14:textId="77777777" w:rsidR="00AC3F0E" w:rsidRPr="00AC3F0E" w:rsidRDefault="00AC3F0E" w:rsidP="00AC3F0E">
            <w:pPr>
              <w:rPr>
                <w:sz w:val="18"/>
                <w:szCs w:val="18"/>
              </w:rPr>
            </w:pPr>
            <w:r w:rsidRPr="00AC3F0E">
              <w:rPr>
                <w:sz w:val="18"/>
                <w:szCs w:val="18"/>
              </w:rPr>
              <w:t>Terminal Network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5E6EB200" w14:textId="695B1297" w:rsidR="00AC3F0E" w:rsidRPr="00AC3F0E" w:rsidRDefault="00AC3F0E" w:rsidP="00AC3F0E">
            <w:pPr>
              <w:rPr>
                <w:sz w:val="18"/>
                <w:szCs w:val="18"/>
              </w:rPr>
            </w:pPr>
            <w:r w:rsidRPr="00AC3F0E">
              <w:rPr>
                <w:sz w:val="18"/>
                <w:szCs w:val="18"/>
              </w:rPr>
              <w:t>Outbound traffic noted fine with terminal able to come in service. Challenge realized for inbound traffic where access by monitoring applications was declined. Issue was resolved by whitelisting application access ports at terminal OS firewall.</w:t>
            </w:r>
          </w:p>
          <w:p w14:paraId="57AF8722" w14:textId="77777777" w:rsidR="00AC3F0E" w:rsidRPr="00AC3F0E" w:rsidRDefault="00AC3F0E" w:rsidP="00AC3F0E">
            <w:pPr>
              <w:rPr>
                <w:sz w:val="18"/>
                <w:szCs w:val="18"/>
              </w:rPr>
            </w:pPr>
            <w:r w:rsidRPr="00AC3F0E">
              <w:rPr>
                <w:sz w:val="18"/>
                <w:szCs w:val="18"/>
              </w:rPr>
              <w:t>No firewall restrictions seen imposed on terminal when in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3E01B17"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477BFEDF" w14:textId="77777777" w:rsidR="00AC3F0E" w:rsidRPr="00AC3F0E" w:rsidRDefault="00AC3F0E" w:rsidP="00AC3F0E">
            <w:pPr>
              <w:rPr>
                <w:sz w:val="18"/>
                <w:szCs w:val="18"/>
              </w:rPr>
            </w:pPr>
            <w:r w:rsidRPr="00AC3F0E">
              <w:rPr>
                <w:sz w:val="18"/>
                <w:szCs w:val="18"/>
              </w:rPr>
              <w:t>MC team, Sybyl, Solid core team</w:t>
            </w:r>
          </w:p>
        </w:tc>
      </w:tr>
      <w:tr w:rsidR="00AC3F0E" w:rsidRPr="00AC3F0E" w14:paraId="16B78B53" w14:textId="77777777" w:rsidTr="00AC3F0E">
        <w:trPr>
          <w:trHeight w:val="288"/>
        </w:trPr>
        <w:tc>
          <w:tcPr>
            <w:tcW w:w="226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AF7677" w14:textId="77777777" w:rsidR="00AC3F0E" w:rsidRPr="00AC3F0E" w:rsidRDefault="00AC3F0E" w:rsidP="00AC3F0E">
            <w:pPr>
              <w:rPr>
                <w:sz w:val="18"/>
                <w:szCs w:val="18"/>
              </w:rPr>
            </w:pPr>
            <w:r w:rsidRPr="00AC3F0E">
              <w:rPr>
                <w:sz w:val="18"/>
                <w:szCs w:val="18"/>
              </w:rPr>
              <w:lastRenderedPageBreak/>
              <w:t>ATM Monitoring Performance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06702" w14:textId="77777777" w:rsidR="00AC3F0E" w:rsidRPr="00AC3F0E" w:rsidRDefault="00AC3F0E" w:rsidP="00AC3F0E">
            <w:pPr>
              <w:rPr>
                <w:sz w:val="18"/>
                <w:szCs w:val="18"/>
              </w:rPr>
            </w:pPr>
            <w:r w:rsidRPr="00AC3F0E">
              <w:rPr>
                <w:sz w:val="18"/>
                <w:szCs w:val="18"/>
              </w:rPr>
              <w:t>Mclient Monitor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647D798C" w14:textId="429C118F" w:rsidR="00AC3F0E" w:rsidRPr="00AC3F0E" w:rsidRDefault="00AC3F0E" w:rsidP="00AC3F0E">
            <w:pPr>
              <w:rPr>
                <w:sz w:val="18"/>
                <w:szCs w:val="18"/>
              </w:rPr>
            </w:pPr>
            <w:r w:rsidRPr="00AC3F0E">
              <w:rPr>
                <w:sz w:val="18"/>
                <w:szCs w:val="18"/>
              </w:rPr>
              <w:t xml:space="preserve">InetConnector Agent still failing to start </w:t>
            </w:r>
          </w:p>
          <w:p w14:paraId="4FFE58F1" w14:textId="609B586C" w:rsidR="00AC3F0E" w:rsidRPr="00AC3F0E" w:rsidRDefault="00AC3F0E" w:rsidP="00AC3F0E">
            <w:pPr>
              <w:rPr>
                <w:sz w:val="18"/>
                <w:szCs w:val="18"/>
              </w:rPr>
            </w:pPr>
            <w:r w:rsidRPr="00AC3F0E">
              <w:rPr>
                <w:sz w:val="18"/>
                <w:szCs w:val="18"/>
              </w:rPr>
              <w:t>This has been reviewed but still not operation and noted corrupt on test machine.</w:t>
            </w:r>
          </w:p>
          <w:p w14:paraId="6BA70232" w14:textId="251444FE" w:rsidR="00AC3F0E" w:rsidRPr="00AC3F0E" w:rsidRDefault="00AC3F0E" w:rsidP="00AC3F0E">
            <w:pPr>
              <w:rPr>
                <w:sz w:val="18"/>
                <w:szCs w:val="18"/>
              </w:rPr>
            </w:pPr>
            <w:r w:rsidRPr="00AC3F0E">
              <w:rPr>
                <w:sz w:val="18"/>
                <w:szCs w:val="18"/>
              </w:rPr>
              <w:t>Recommend investigating this further on any selected pilot machine since this with be noted healthy before Solid core policies are activated to it. In this way we can confirm status</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10C208B"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49492905" w14:textId="77777777" w:rsidR="00AC3F0E" w:rsidRPr="00AC3F0E" w:rsidRDefault="00AC3F0E" w:rsidP="00AC3F0E">
            <w:pPr>
              <w:rPr>
                <w:sz w:val="18"/>
                <w:szCs w:val="18"/>
              </w:rPr>
            </w:pPr>
            <w:r w:rsidRPr="00AC3F0E">
              <w:rPr>
                <w:sz w:val="18"/>
                <w:szCs w:val="18"/>
              </w:rPr>
              <w:t>MC team, Sybyl, Solid core team</w:t>
            </w:r>
          </w:p>
        </w:tc>
      </w:tr>
      <w:tr w:rsidR="00AC3F0E" w:rsidRPr="00AC3F0E" w14:paraId="5FB58959"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1A689A50"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4BA84" w14:textId="77777777" w:rsidR="00AC3F0E" w:rsidRPr="00AC3F0E" w:rsidRDefault="00AC3F0E" w:rsidP="00AC3F0E">
            <w:pPr>
              <w:rPr>
                <w:sz w:val="18"/>
                <w:szCs w:val="18"/>
              </w:rPr>
            </w:pPr>
            <w:r w:rsidRPr="00AC3F0E">
              <w:rPr>
                <w:sz w:val="18"/>
                <w:szCs w:val="18"/>
              </w:rPr>
              <w:t>iRecon Monitor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41E26A3D" w14:textId="785A6B1F" w:rsidR="00AC3F0E" w:rsidRPr="00AC3F0E" w:rsidRDefault="00AC3F0E" w:rsidP="00AC3F0E">
            <w:pPr>
              <w:rPr>
                <w:sz w:val="18"/>
                <w:szCs w:val="18"/>
              </w:rPr>
            </w:pPr>
            <w:r w:rsidRPr="00AC3F0E">
              <w:rPr>
                <w:sz w:val="18"/>
                <w:szCs w:val="18"/>
              </w:rPr>
              <w:t>iRecon Agent able to start at terminal and accessible for monitoring</w:t>
            </w:r>
          </w:p>
          <w:p w14:paraId="26127942"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DC29D50"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1E19D2B7" w14:textId="77777777" w:rsidR="00AC3F0E" w:rsidRPr="00AC3F0E" w:rsidRDefault="00AC3F0E" w:rsidP="00AC3F0E">
            <w:pPr>
              <w:rPr>
                <w:sz w:val="18"/>
                <w:szCs w:val="18"/>
              </w:rPr>
            </w:pPr>
            <w:r w:rsidRPr="00AC3F0E">
              <w:rPr>
                <w:sz w:val="18"/>
                <w:szCs w:val="18"/>
              </w:rPr>
              <w:t>MC team, Sybyl</w:t>
            </w:r>
          </w:p>
        </w:tc>
      </w:tr>
      <w:tr w:rsidR="00AC3F0E" w:rsidRPr="00AC3F0E" w14:paraId="11C23CCD"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5263177D"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88EF6D" w14:textId="77777777" w:rsidR="00AC3F0E" w:rsidRPr="00AC3F0E" w:rsidRDefault="00AC3F0E" w:rsidP="00AC3F0E">
            <w:pPr>
              <w:rPr>
                <w:sz w:val="18"/>
                <w:szCs w:val="18"/>
              </w:rPr>
            </w:pPr>
            <w:r w:rsidRPr="00AC3F0E">
              <w:rPr>
                <w:sz w:val="18"/>
                <w:szCs w:val="18"/>
              </w:rPr>
              <w:t>iwallet Monitor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4B71E253" w14:textId="3FCC6BBD" w:rsidR="00AC3F0E" w:rsidRPr="00AC3F0E" w:rsidRDefault="00AC3F0E" w:rsidP="00AC3F0E">
            <w:pPr>
              <w:rPr>
                <w:sz w:val="18"/>
                <w:szCs w:val="18"/>
              </w:rPr>
            </w:pPr>
            <w:r w:rsidRPr="00AC3F0E">
              <w:rPr>
                <w:sz w:val="18"/>
                <w:szCs w:val="18"/>
              </w:rPr>
              <w:t>iWallet Agent able to start at terminal and accessible for monitoring</w:t>
            </w:r>
          </w:p>
          <w:p w14:paraId="6B047A9E"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5E0F1E4"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41AC8049" w14:textId="77777777" w:rsidR="00AC3F0E" w:rsidRPr="00AC3F0E" w:rsidRDefault="00AC3F0E" w:rsidP="00AC3F0E">
            <w:pPr>
              <w:rPr>
                <w:sz w:val="18"/>
                <w:szCs w:val="18"/>
              </w:rPr>
            </w:pPr>
            <w:r w:rsidRPr="00AC3F0E">
              <w:rPr>
                <w:sz w:val="18"/>
                <w:szCs w:val="18"/>
              </w:rPr>
              <w:t>MC team, Sybyl</w:t>
            </w:r>
          </w:p>
        </w:tc>
      </w:tr>
      <w:tr w:rsidR="00AC3F0E" w:rsidRPr="00AC3F0E" w14:paraId="4C46AEE0"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63A33480"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1FCE7" w14:textId="77777777" w:rsidR="00AC3F0E" w:rsidRPr="00AC3F0E" w:rsidRDefault="00AC3F0E" w:rsidP="00AC3F0E">
            <w:pPr>
              <w:rPr>
                <w:sz w:val="18"/>
                <w:szCs w:val="18"/>
              </w:rPr>
            </w:pPr>
            <w:r w:rsidRPr="00AC3F0E">
              <w:rPr>
                <w:sz w:val="18"/>
                <w:szCs w:val="18"/>
              </w:rPr>
              <w:t>Ivoyager Monitor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5A5C205" w14:textId="01828460" w:rsidR="00AC3F0E" w:rsidRPr="00AC3F0E" w:rsidRDefault="00AC3F0E" w:rsidP="00AC3F0E">
            <w:pPr>
              <w:rPr>
                <w:sz w:val="18"/>
                <w:szCs w:val="18"/>
              </w:rPr>
            </w:pPr>
            <w:r w:rsidRPr="00AC3F0E">
              <w:rPr>
                <w:sz w:val="18"/>
                <w:szCs w:val="18"/>
              </w:rPr>
              <w:t>I voyager Application Agent able to start at terminal and accessible for monitoring.</w:t>
            </w:r>
          </w:p>
          <w:p w14:paraId="33110E1D"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0572F46"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1BBD67E0" w14:textId="77777777" w:rsidR="00AC3F0E" w:rsidRPr="00AC3F0E" w:rsidRDefault="00AC3F0E" w:rsidP="00AC3F0E">
            <w:pPr>
              <w:rPr>
                <w:sz w:val="18"/>
                <w:szCs w:val="18"/>
              </w:rPr>
            </w:pPr>
            <w:r w:rsidRPr="00AC3F0E">
              <w:rPr>
                <w:sz w:val="18"/>
                <w:szCs w:val="18"/>
              </w:rPr>
              <w:t>MC team, Sybyl</w:t>
            </w:r>
          </w:p>
        </w:tc>
      </w:tr>
      <w:tr w:rsidR="00AC3F0E" w:rsidRPr="00AC3F0E" w14:paraId="56F1A127"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4EAFB18C"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B3076" w14:textId="77777777" w:rsidR="00AC3F0E" w:rsidRPr="00AC3F0E" w:rsidRDefault="00AC3F0E" w:rsidP="00AC3F0E">
            <w:pPr>
              <w:rPr>
                <w:sz w:val="18"/>
                <w:szCs w:val="18"/>
              </w:rPr>
            </w:pPr>
            <w:r w:rsidRPr="00AC3F0E">
              <w:rPr>
                <w:sz w:val="18"/>
                <w:szCs w:val="18"/>
              </w:rPr>
              <w:t xml:space="preserve">Iswitch Interface Monitor status </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58DFA5E0" w14:textId="6C3BC942" w:rsidR="00AC3F0E" w:rsidRPr="00AC3F0E" w:rsidRDefault="00AC3F0E" w:rsidP="00AC3F0E">
            <w:pPr>
              <w:rPr>
                <w:sz w:val="18"/>
                <w:szCs w:val="18"/>
              </w:rPr>
            </w:pPr>
            <w:r w:rsidRPr="00AC3F0E">
              <w:rPr>
                <w:sz w:val="18"/>
                <w:szCs w:val="18"/>
              </w:rPr>
              <w:t>Communication between switch and terminal monitored okay</w:t>
            </w:r>
          </w:p>
          <w:p w14:paraId="16EB740B"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1CF9286"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73351849" w14:textId="77777777" w:rsidR="00AC3F0E" w:rsidRPr="00AC3F0E" w:rsidRDefault="00AC3F0E" w:rsidP="00AC3F0E">
            <w:pPr>
              <w:rPr>
                <w:sz w:val="18"/>
                <w:szCs w:val="18"/>
              </w:rPr>
            </w:pPr>
            <w:r w:rsidRPr="00AC3F0E">
              <w:rPr>
                <w:sz w:val="18"/>
                <w:szCs w:val="18"/>
              </w:rPr>
              <w:t>MC team, Sybyl</w:t>
            </w:r>
          </w:p>
        </w:tc>
      </w:tr>
      <w:tr w:rsidR="00AC3F0E" w:rsidRPr="00AC3F0E" w14:paraId="046D8FB7"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0EC04018"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6793EB" w14:textId="2C6FA37F" w:rsidR="00AC3F0E" w:rsidRPr="00AC3F0E" w:rsidRDefault="00AC3F0E" w:rsidP="00AC3F0E">
            <w:pPr>
              <w:rPr>
                <w:sz w:val="18"/>
                <w:szCs w:val="18"/>
              </w:rPr>
            </w:pPr>
            <w:r w:rsidRPr="00AC3F0E">
              <w:rPr>
                <w:sz w:val="18"/>
                <w:szCs w:val="18"/>
              </w:rPr>
              <w:t>Ivoyager</w:t>
            </w:r>
            <w:r>
              <w:rPr>
                <w:sz w:val="18"/>
                <w:szCs w:val="18"/>
              </w:rPr>
              <w:t xml:space="preserve"> </w:t>
            </w:r>
            <w:r w:rsidRPr="00AC3F0E">
              <w:rPr>
                <w:sz w:val="18"/>
                <w:szCs w:val="18"/>
              </w:rPr>
              <w:t>log Monitor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0B4524E0" w14:textId="4C09BB9F" w:rsidR="00AC3F0E" w:rsidRPr="00AC3F0E" w:rsidRDefault="00AC3F0E" w:rsidP="00AC3F0E">
            <w:pPr>
              <w:rPr>
                <w:sz w:val="18"/>
                <w:szCs w:val="18"/>
              </w:rPr>
            </w:pPr>
            <w:r w:rsidRPr="00AC3F0E">
              <w:rPr>
                <w:sz w:val="18"/>
                <w:szCs w:val="18"/>
              </w:rPr>
              <w:t>I voyager Log client Agent able to start at terminal and accessible for monitoring. (Attached screenshots)</w:t>
            </w:r>
          </w:p>
          <w:p w14:paraId="76A45BD8"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A646FB2"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1A1DCDD1" w14:textId="77777777" w:rsidR="00AC3F0E" w:rsidRPr="00AC3F0E" w:rsidRDefault="00AC3F0E" w:rsidP="00AC3F0E">
            <w:pPr>
              <w:rPr>
                <w:sz w:val="18"/>
                <w:szCs w:val="18"/>
              </w:rPr>
            </w:pPr>
            <w:r w:rsidRPr="00AC3F0E">
              <w:rPr>
                <w:sz w:val="18"/>
                <w:szCs w:val="18"/>
              </w:rPr>
              <w:t>MC team, Sybyl</w:t>
            </w:r>
          </w:p>
        </w:tc>
      </w:tr>
      <w:tr w:rsidR="00AC3F0E" w:rsidRPr="00AC3F0E" w14:paraId="786417F6" w14:textId="77777777" w:rsidTr="00AC3F0E">
        <w:trPr>
          <w:trHeight w:val="1440"/>
        </w:trPr>
        <w:tc>
          <w:tcPr>
            <w:tcW w:w="226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2F0936" w14:textId="77777777" w:rsidR="00AC3F0E" w:rsidRPr="00AC3F0E" w:rsidRDefault="00AC3F0E" w:rsidP="00AC3F0E">
            <w:pPr>
              <w:rPr>
                <w:sz w:val="18"/>
                <w:szCs w:val="18"/>
              </w:rPr>
            </w:pPr>
            <w:r w:rsidRPr="00AC3F0E">
              <w:rPr>
                <w:sz w:val="18"/>
                <w:szCs w:val="18"/>
              </w:rPr>
              <w:lastRenderedPageBreak/>
              <w:t>ATM Transaction Performance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hideMark/>
          </w:tcPr>
          <w:p w14:paraId="7981637C" w14:textId="77777777" w:rsidR="00AC3F0E" w:rsidRPr="00AC3F0E" w:rsidRDefault="00AC3F0E" w:rsidP="00AC3F0E">
            <w:pPr>
              <w:rPr>
                <w:sz w:val="18"/>
                <w:szCs w:val="18"/>
              </w:rPr>
            </w:pPr>
            <w:r w:rsidRPr="00AC3F0E">
              <w:rPr>
                <w:sz w:val="18"/>
                <w:szCs w:val="18"/>
              </w:rPr>
              <w:t>Transaction Performance</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6F164819" w14:textId="3D4F4FA1" w:rsidR="00AC3F0E" w:rsidRPr="00AC3F0E" w:rsidRDefault="00AC3F0E" w:rsidP="00AC3F0E">
            <w:pPr>
              <w:rPr>
                <w:sz w:val="18"/>
                <w:szCs w:val="18"/>
              </w:rPr>
            </w:pPr>
            <w:r w:rsidRPr="00AC3F0E">
              <w:rPr>
                <w:sz w:val="18"/>
                <w:szCs w:val="18"/>
              </w:rPr>
              <w:t>Machine able to perform successful transactions as per scope, that is Fast Cash Withdrawal, Mini statement, Inquiry, Other withdrawal and Cardless deposit. (Attached transaction samples)</w:t>
            </w:r>
          </w:p>
          <w:p w14:paraId="44D8DDB2"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EBDBDD2"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6027F80E" w14:textId="77777777" w:rsidR="00AC3F0E" w:rsidRPr="00AC3F0E" w:rsidRDefault="00AC3F0E" w:rsidP="00AC3F0E">
            <w:pPr>
              <w:rPr>
                <w:sz w:val="18"/>
                <w:szCs w:val="18"/>
              </w:rPr>
            </w:pPr>
            <w:r w:rsidRPr="00AC3F0E">
              <w:rPr>
                <w:sz w:val="18"/>
                <w:szCs w:val="18"/>
              </w:rPr>
              <w:t>MC team, Sybyl</w:t>
            </w:r>
          </w:p>
        </w:tc>
      </w:tr>
      <w:tr w:rsidR="00AC3F0E" w:rsidRPr="00AC3F0E" w14:paraId="29F87B09" w14:textId="77777777" w:rsidTr="00AC3F0E">
        <w:trPr>
          <w:trHeight w:val="576"/>
        </w:trPr>
        <w:tc>
          <w:tcPr>
            <w:tcW w:w="2264" w:type="dxa"/>
            <w:vMerge/>
            <w:tcBorders>
              <w:top w:val="nil"/>
              <w:left w:val="single" w:sz="8" w:space="0" w:color="auto"/>
              <w:bottom w:val="single" w:sz="8" w:space="0" w:color="auto"/>
              <w:right w:val="single" w:sz="8" w:space="0" w:color="auto"/>
            </w:tcBorders>
            <w:vAlign w:val="center"/>
            <w:hideMark/>
          </w:tcPr>
          <w:p w14:paraId="32F82145"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112EE" w14:textId="77777777" w:rsidR="00AC3F0E" w:rsidRPr="00AC3F0E" w:rsidRDefault="00AC3F0E" w:rsidP="00AC3F0E">
            <w:pPr>
              <w:rPr>
                <w:sz w:val="18"/>
                <w:szCs w:val="18"/>
              </w:rPr>
            </w:pPr>
            <w:r w:rsidRPr="00AC3F0E">
              <w:rPr>
                <w:sz w:val="18"/>
                <w:szCs w:val="18"/>
              </w:rPr>
              <w:t>Transaction Journal update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7D8F78B" w14:textId="1A4841BB" w:rsidR="00AC3F0E" w:rsidRPr="00AC3F0E" w:rsidRDefault="00AC3F0E" w:rsidP="00AC3F0E">
            <w:pPr>
              <w:rPr>
                <w:sz w:val="18"/>
                <w:szCs w:val="18"/>
              </w:rPr>
            </w:pPr>
            <w:r w:rsidRPr="00AC3F0E">
              <w:rPr>
                <w:sz w:val="18"/>
                <w:szCs w:val="18"/>
              </w:rPr>
              <w:t>Transaction log noted updated accordingly</w:t>
            </w:r>
            <w:r>
              <w:rPr>
                <w:sz w:val="18"/>
                <w:szCs w:val="18"/>
              </w:rPr>
              <w:t>.</w:t>
            </w:r>
          </w:p>
          <w:p w14:paraId="199D57E1" w14:textId="77777777" w:rsidR="00AC3F0E" w:rsidRPr="00AC3F0E" w:rsidRDefault="00AC3F0E" w:rsidP="00AC3F0E">
            <w:pPr>
              <w:rPr>
                <w:sz w:val="18"/>
                <w:szCs w:val="18"/>
              </w:rPr>
            </w:pPr>
            <w:r w:rsidRPr="00AC3F0E">
              <w:rPr>
                <w:sz w:val="18"/>
                <w:szCs w:val="18"/>
              </w:rPr>
              <w:t>Noted okay even in solid core locked state.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441180C" w14:textId="77777777" w:rsidR="00AC3F0E" w:rsidRPr="00AC3F0E" w:rsidRDefault="00AC3F0E" w:rsidP="00AC3F0E">
            <w:pPr>
              <w:rPr>
                <w:sz w:val="18"/>
                <w:szCs w:val="18"/>
              </w:rPr>
            </w:pPr>
            <w:r w:rsidRPr="00AC3F0E">
              <w:rPr>
                <w:sz w:val="18"/>
                <w:szCs w:val="18"/>
              </w:rPr>
              <w:t>Necessary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10445EE0" w14:textId="77777777" w:rsidR="00AC3F0E" w:rsidRPr="00AC3F0E" w:rsidRDefault="00AC3F0E" w:rsidP="00AC3F0E">
            <w:pPr>
              <w:rPr>
                <w:sz w:val="18"/>
                <w:szCs w:val="18"/>
              </w:rPr>
            </w:pPr>
            <w:r w:rsidRPr="00AC3F0E">
              <w:rPr>
                <w:sz w:val="18"/>
                <w:szCs w:val="18"/>
              </w:rPr>
              <w:t>MC team, Sybyl</w:t>
            </w:r>
          </w:p>
        </w:tc>
      </w:tr>
      <w:tr w:rsidR="00AC3F0E" w:rsidRPr="00AC3F0E" w14:paraId="30AAB8E6" w14:textId="77777777" w:rsidTr="00AC3F0E">
        <w:trPr>
          <w:trHeight w:val="288"/>
        </w:trPr>
        <w:tc>
          <w:tcPr>
            <w:tcW w:w="226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4E2EF" w14:textId="77777777" w:rsidR="00AC3F0E" w:rsidRPr="00AC3F0E" w:rsidRDefault="00AC3F0E" w:rsidP="00AC3F0E">
            <w:pPr>
              <w:rPr>
                <w:sz w:val="18"/>
                <w:szCs w:val="18"/>
              </w:rPr>
            </w:pPr>
            <w:r w:rsidRPr="00AC3F0E">
              <w:rPr>
                <w:sz w:val="18"/>
                <w:szCs w:val="18"/>
              </w:rPr>
              <w:t>Solid core Application Performance and Control</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2BC6C" w14:textId="77777777" w:rsidR="00AC3F0E" w:rsidRPr="00AC3F0E" w:rsidRDefault="00AC3F0E" w:rsidP="00AC3F0E">
            <w:pPr>
              <w:rPr>
                <w:sz w:val="18"/>
                <w:szCs w:val="18"/>
              </w:rPr>
            </w:pPr>
            <w:r w:rsidRPr="00AC3F0E">
              <w:rPr>
                <w:sz w:val="18"/>
                <w:szCs w:val="18"/>
              </w:rPr>
              <w:t>Remote control to terminal status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D934DA8" w14:textId="01F0E67C" w:rsidR="00AC3F0E" w:rsidRPr="00AC3F0E" w:rsidRDefault="003611D8" w:rsidP="00AC3F0E">
            <w:pPr>
              <w:rPr>
                <w:sz w:val="18"/>
                <w:szCs w:val="18"/>
              </w:rPr>
            </w:pPr>
            <w:r>
              <w:rPr>
                <w:sz w:val="18"/>
                <w:szCs w:val="18"/>
              </w:rPr>
              <w:t>Complete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716F861"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37436C9E" w14:textId="77777777" w:rsidR="00AC3F0E" w:rsidRPr="00AC3F0E" w:rsidRDefault="00AC3F0E" w:rsidP="00AC3F0E">
            <w:pPr>
              <w:rPr>
                <w:sz w:val="18"/>
                <w:szCs w:val="18"/>
              </w:rPr>
            </w:pPr>
            <w:r w:rsidRPr="00AC3F0E">
              <w:rPr>
                <w:sz w:val="18"/>
                <w:szCs w:val="18"/>
              </w:rPr>
              <w:t>ITSEC, Solid core team</w:t>
            </w:r>
          </w:p>
        </w:tc>
      </w:tr>
      <w:tr w:rsidR="00AC3F0E" w:rsidRPr="00AC3F0E" w14:paraId="5CA313E3" w14:textId="77777777" w:rsidTr="00AC3F0E">
        <w:trPr>
          <w:trHeight w:val="288"/>
        </w:trPr>
        <w:tc>
          <w:tcPr>
            <w:tcW w:w="2264" w:type="dxa"/>
            <w:vMerge/>
            <w:tcBorders>
              <w:top w:val="nil"/>
              <w:left w:val="single" w:sz="8" w:space="0" w:color="auto"/>
              <w:bottom w:val="single" w:sz="8" w:space="0" w:color="auto"/>
              <w:right w:val="single" w:sz="8" w:space="0" w:color="auto"/>
            </w:tcBorders>
            <w:vAlign w:val="center"/>
            <w:hideMark/>
          </w:tcPr>
          <w:p w14:paraId="20841EAE"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9CBDC" w14:textId="77777777" w:rsidR="00AC3F0E" w:rsidRPr="00AC3F0E" w:rsidRDefault="00AC3F0E" w:rsidP="00AC3F0E">
            <w:pPr>
              <w:rPr>
                <w:sz w:val="18"/>
                <w:szCs w:val="18"/>
              </w:rPr>
            </w:pPr>
            <w:r w:rsidRPr="00AC3F0E">
              <w:rPr>
                <w:sz w:val="18"/>
                <w:szCs w:val="18"/>
              </w:rPr>
              <w:t>Policy Management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22E77D0" w14:textId="7F805429" w:rsidR="00AC3F0E" w:rsidRPr="00AC3F0E" w:rsidRDefault="003611D8" w:rsidP="00AC3F0E">
            <w:pPr>
              <w:rPr>
                <w:sz w:val="18"/>
                <w:szCs w:val="18"/>
              </w:rPr>
            </w:pPr>
            <w:r>
              <w:rPr>
                <w:sz w:val="18"/>
                <w:szCs w:val="18"/>
              </w:rPr>
              <w:t>Complete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B72594"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7C296F63" w14:textId="77777777" w:rsidR="00AC3F0E" w:rsidRPr="00AC3F0E" w:rsidRDefault="00AC3F0E" w:rsidP="00AC3F0E">
            <w:pPr>
              <w:rPr>
                <w:sz w:val="18"/>
                <w:szCs w:val="18"/>
              </w:rPr>
            </w:pPr>
            <w:r w:rsidRPr="00AC3F0E">
              <w:rPr>
                <w:sz w:val="18"/>
                <w:szCs w:val="18"/>
              </w:rPr>
              <w:t>ITSEC, Solid core team</w:t>
            </w:r>
          </w:p>
        </w:tc>
      </w:tr>
      <w:tr w:rsidR="00AC3F0E" w:rsidRPr="00AC3F0E" w14:paraId="3485B4E4" w14:textId="77777777" w:rsidTr="00AC3F0E">
        <w:trPr>
          <w:trHeight w:val="288"/>
        </w:trPr>
        <w:tc>
          <w:tcPr>
            <w:tcW w:w="2264" w:type="dxa"/>
            <w:vMerge/>
            <w:tcBorders>
              <w:top w:val="nil"/>
              <w:left w:val="single" w:sz="8" w:space="0" w:color="auto"/>
              <w:bottom w:val="single" w:sz="8" w:space="0" w:color="auto"/>
              <w:right w:val="single" w:sz="8" w:space="0" w:color="auto"/>
            </w:tcBorders>
            <w:vAlign w:val="center"/>
            <w:hideMark/>
          </w:tcPr>
          <w:p w14:paraId="773ECD18"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F058F" w14:textId="77777777" w:rsidR="00AC3F0E" w:rsidRPr="00AC3F0E" w:rsidRDefault="00AC3F0E" w:rsidP="00AC3F0E">
            <w:pPr>
              <w:rPr>
                <w:sz w:val="18"/>
                <w:szCs w:val="18"/>
              </w:rPr>
            </w:pPr>
            <w:r w:rsidRPr="00AC3F0E">
              <w:rPr>
                <w:sz w:val="18"/>
                <w:szCs w:val="18"/>
              </w:rPr>
              <w:t xml:space="preserve">Update Management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59511E5" w14:textId="5029B264" w:rsidR="00AC3F0E" w:rsidRPr="00AC3F0E" w:rsidRDefault="003611D8" w:rsidP="00AC3F0E">
            <w:pPr>
              <w:rPr>
                <w:sz w:val="18"/>
                <w:szCs w:val="18"/>
              </w:rPr>
            </w:pPr>
            <w:r>
              <w:rPr>
                <w:sz w:val="18"/>
                <w:szCs w:val="18"/>
              </w:rPr>
              <w:t>Complete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52DC5AF4" w14:textId="77777777" w:rsidR="00AC3F0E" w:rsidRPr="00AC3F0E" w:rsidRDefault="00AC3F0E" w:rsidP="00AC3F0E">
            <w:pPr>
              <w:rPr>
                <w:sz w:val="18"/>
                <w:szCs w:val="18"/>
              </w:rPr>
            </w:pPr>
            <w:r w:rsidRPr="00AC3F0E">
              <w:rPr>
                <w:sz w:val="18"/>
                <w:szCs w:val="18"/>
              </w:rPr>
              <w:t>Mandatory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6A9A1788" w14:textId="77777777" w:rsidR="00AC3F0E" w:rsidRPr="00AC3F0E" w:rsidRDefault="00AC3F0E" w:rsidP="00AC3F0E">
            <w:pPr>
              <w:rPr>
                <w:sz w:val="18"/>
                <w:szCs w:val="18"/>
              </w:rPr>
            </w:pPr>
            <w:r w:rsidRPr="00AC3F0E">
              <w:rPr>
                <w:sz w:val="18"/>
                <w:szCs w:val="18"/>
              </w:rPr>
              <w:t>ITSEC, Solid core team</w:t>
            </w:r>
          </w:p>
        </w:tc>
      </w:tr>
      <w:tr w:rsidR="00AC3F0E" w:rsidRPr="00AC3F0E" w14:paraId="3DD3E392" w14:textId="77777777" w:rsidTr="00AC3F0E">
        <w:trPr>
          <w:trHeight w:val="288"/>
        </w:trPr>
        <w:tc>
          <w:tcPr>
            <w:tcW w:w="2264" w:type="dxa"/>
            <w:vMerge/>
            <w:tcBorders>
              <w:top w:val="nil"/>
              <w:left w:val="single" w:sz="8" w:space="0" w:color="auto"/>
              <w:bottom w:val="single" w:sz="8" w:space="0" w:color="auto"/>
              <w:right w:val="single" w:sz="8" w:space="0" w:color="auto"/>
            </w:tcBorders>
            <w:vAlign w:val="center"/>
            <w:hideMark/>
          </w:tcPr>
          <w:p w14:paraId="08796BAB" w14:textId="77777777" w:rsidR="00AC3F0E" w:rsidRPr="00AC3F0E" w:rsidRDefault="00AC3F0E" w:rsidP="00AC3F0E">
            <w:pPr>
              <w:rPr>
                <w:sz w:val="18"/>
                <w:szCs w:val="18"/>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4349F" w14:textId="77777777" w:rsidR="00AC3F0E" w:rsidRPr="00AC3F0E" w:rsidRDefault="00AC3F0E" w:rsidP="00AC3F0E">
            <w:pPr>
              <w:rPr>
                <w:sz w:val="18"/>
                <w:szCs w:val="18"/>
              </w:rPr>
            </w:pPr>
            <w:r w:rsidRPr="00AC3F0E">
              <w:rPr>
                <w:sz w:val="18"/>
                <w:szCs w:val="18"/>
              </w:rPr>
              <w:t>Other</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90385C3" w14:textId="764C5C98" w:rsidR="00AC3F0E" w:rsidRPr="00AC3F0E" w:rsidRDefault="003611D8" w:rsidP="00AC3F0E">
            <w:pPr>
              <w:rPr>
                <w:sz w:val="18"/>
                <w:szCs w:val="18"/>
              </w:rPr>
            </w:pPr>
            <w:r>
              <w:rPr>
                <w:sz w:val="18"/>
                <w:szCs w:val="18"/>
              </w:rPr>
              <w:t>N/A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72F670D" w14:textId="77777777" w:rsidR="00AC3F0E" w:rsidRPr="00AC3F0E" w:rsidRDefault="00AC3F0E" w:rsidP="00AC3F0E">
            <w:pPr>
              <w:rPr>
                <w:sz w:val="18"/>
                <w:szCs w:val="18"/>
              </w:rPr>
            </w:pPr>
            <w:r w:rsidRPr="00AC3F0E">
              <w:rPr>
                <w:sz w:val="18"/>
                <w:szCs w:val="18"/>
              </w:rPr>
              <w:t>Necessary</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hideMark/>
          </w:tcPr>
          <w:p w14:paraId="60913610" w14:textId="77777777" w:rsidR="00AC3F0E" w:rsidRPr="00AC3F0E" w:rsidRDefault="00AC3F0E" w:rsidP="00AC3F0E">
            <w:pPr>
              <w:rPr>
                <w:sz w:val="18"/>
                <w:szCs w:val="18"/>
              </w:rPr>
            </w:pPr>
            <w:r w:rsidRPr="00AC3F0E">
              <w:rPr>
                <w:sz w:val="18"/>
                <w:szCs w:val="18"/>
              </w:rPr>
              <w:t>ITSEC, Solid core team</w:t>
            </w:r>
          </w:p>
        </w:tc>
      </w:tr>
    </w:tbl>
    <w:p w14:paraId="15CC2F63" w14:textId="77777777" w:rsidR="00AC3F0E" w:rsidRDefault="00AC3F0E" w:rsidP="00AC3F0E">
      <w:pPr>
        <w:ind w:left="-810"/>
      </w:pPr>
    </w:p>
    <w:sectPr w:rsidR="00AC3F0E" w:rsidSect="00AC3F0E">
      <w:footerReference w:type="even" r:id="rId6"/>
      <w:footerReference w:type="default" r:id="rId7"/>
      <w:footerReference w:type="firs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A140F" w14:textId="77777777" w:rsidR="00974969" w:rsidRDefault="00974969" w:rsidP="00AC3F0E">
      <w:pPr>
        <w:spacing w:after="0" w:line="240" w:lineRule="auto"/>
      </w:pPr>
      <w:r>
        <w:separator/>
      </w:r>
    </w:p>
  </w:endnote>
  <w:endnote w:type="continuationSeparator" w:id="0">
    <w:p w14:paraId="168947CD" w14:textId="77777777" w:rsidR="00974969" w:rsidRDefault="00974969" w:rsidP="00A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FF17" w14:textId="4892CB3D" w:rsidR="00AC3F0E" w:rsidRDefault="00AC3F0E">
    <w:pPr>
      <w:pStyle w:val="Footer"/>
    </w:pPr>
    <w:r>
      <w:rPr>
        <w:noProof/>
      </w:rPr>
      <mc:AlternateContent>
        <mc:Choice Requires="wps">
          <w:drawing>
            <wp:anchor distT="0" distB="0" distL="0" distR="0" simplePos="0" relativeHeight="251659264" behindDoc="0" locked="0" layoutInCell="1" allowOverlap="1" wp14:anchorId="428BBA27" wp14:editId="32BB999B">
              <wp:simplePos x="635" y="635"/>
              <wp:positionH relativeFrom="page">
                <wp:align>center</wp:align>
              </wp:positionH>
              <wp:positionV relativeFrom="page">
                <wp:align>bottom</wp:align>
              </wp:positionV>
              <wp:extent cx="2184400" cy="387985"/>
              <wp:effectExtent l="0" t="0" r="6350" b="0"/>
              <wp:wrapNone/>
              <wp:docPr id="148186744" name="Text Box 2" descr="Confidential External - Centenary Ban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84400" cy="387985"/>
                      </a:xfrm>
                      <a:prstGeom prst="rect">
                        <a:avLst/>
                      </a:prstGeom>
                      <a:noFill/>
                      <a:ln>
                        <a:noFill/>
                      </a:ln>
                    </wps:spPr>
                    <wps:txbx>
                      <w:txbxContent>
                        <w:p w14:paraId="183C04E6" w14:textId="5194A3AD"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BBA27" id="_x0000_t202" coordsize="21600,21600" o:spt="202" path="m,l,21600r21600,l21600,xe">
              <v:stroke joinstyle="miter"/>
              <v:path gradientshapeok="t" o:connecttype="rect"/>
            </v:shapetype>
            <v:shape id="Text Box 2" o:spid="_x0000_s1026" type="#_x0000_t202" alt="Confidential External - Centenary Bank" style="position:absolute;margin-left:0;margin-top:0;width:172pt;height:30.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" filled="f" stroked="f">
              <v:fill o:detectmouseclick="t"/>
              <v:textbox style="mso-fit-shape-to-text:t" inset="0,0,0,15pt">
                <w:txbxContent>
                  <w:p w14:paraId="183C04E6" w14:textId="5194A3AD"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652A" w14:textId="4AF92FEC" w:rsidR="00AC3F0E" w:rsidRDefault="00AC3F0E">
    <w:pPr>
      <w:pStyle w:val="Footer"/>
    </w:pPr>
    <w:r>
      <w:rPr>
        <w:noProof/>
      </w:rPr>
      <mc:AlternateContent>
        <mc:Choice Requires="wps">
          <w:drawing>
            <wp:anchor distT="0" distB="0" distL="0" distR="0" simplePos="0" relativeHeight="251660288" behindDoc="0" locked="0" layoutInCell="1" allowOverlap="1" wp14:anchorId="54B0410E" wp14:editId="5B420E90">
              <wp:simplePos x="914400" y="7132320"/>
              <wp:positionH relativeFrom="page">
                <wp:align>center</wp:align>
              </wp:positionH>
              <wp:positionV relativeFrom="page">
                <wp:align>bottom</wp:align>
              </wp:positionV>
              <wp:extent cx="2184400" cy="387985"/>
              <wp:effectExtent l="0" t="0" r="6350" b="0"/>
              <wp:wrapNone/>
              <wp:docPr id="1262170579" name="Text Box 3" descr="Confidential External - Centenary Ban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84400" cy="387985"/>
                      </a:xfrm>
                      <a:prstGeom prst="rect">
                        <a:avLst/>
                      </a:prstGeom>
                      <a:noFill/>
                      <a:ln>
                        <a:noFill/>
                      </a:ln>
                    </wps:spPr>
                    <wps:txbx>
                      <w:txbxContent>
                        <w:p w14:paraId="702EBEB8" w14:textId="4C577DD9"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0410E" id="_x0000_t202" coordsize="21600,21600" o:spt="202" path="m,l,21600r21600,l21600,xe">
              <v:stroke joinstyle="miter"/>
              <v:path gradientshapeok="t" o:connecttype="rect"/>
            </v:shapetype>
            <v:shape id="Text Box 3" o:spid="_x0000_s1027" type="#_x0000_t202" alt="Confidential External - Centenary Bank" style="position:absolute;margin-left:0;margin-top:0;width:172pt;height:30.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" filled="f" stroked="f">
              <v:fill o:detectmouseclick="t"/>
              <v:textbox style="mso-fit-shape-to-text:t" inset="0,0,0,15pt">
                <w:txbxContent>
                  <w:p w14:paraId="702EBEB8" w14:textId="4C577DD9"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6445" w14:textId="164E9007" w:rsidR="00AC3F0E" w:rsidRDefault="00AC3F0E">
    <w:pPr>
      <w:pStyle w:val="Footer"/>
    </w:pPr>
    <w:r>
      <w:rPr>
        <w:noProof/>
      </w:rPr>
      <mc:AlternateContent>
        <mc:Choice Requires="wps">
          <w:drawing>
            <wp:anchor distT="0" distB="0" distL="0" distR="0" simplePos="0" relativeHeight="251658240" behindDoc="0" locked="0" layoutInCell="1" allowOverlap="1" wp14:anchorId="5EF829B8" wp14:editId="635ADCFE">
              <wp:simplePos x="635" y="635"/>
              <wp:positionH relativeFrom="page">
                <wp:align>center</wp:align>
              </wp:positionH>
              <wp:positionV relativeFrom="page">
                <wp:align>bottom</wp:align>
              </wp:positionV>
              <wp:extent cx="2184400" cy="387985"/>
              <wp:effectExtent l="0" t="0" r="6350" b="0"/>
              <wp:wrapNone/>
              <wp:docPr id="714647548" name="Text Box 1" descr="Confidential External - Centenary Ban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84400" cy="387985"/>
                      </a:xfrm>
                      <a:prstGeom prst="rect">
                        <a:avLst/>
                      </a:prstGeom>
                      <a:noFill/>
                      <a:ln>
                        <a:noFill/>
                      </a:ln>
                    </wps:spPr>
                    <wps:txbx>
                      <w:txbxContent>
                        <w:p w14:paraId="58E7E93F" w14:textId="53EBF558"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829B8" id="_x0000_t202" coordsize="21600,21600" o:spt="202" path="m,l,21600r21600,l21600,xe">
              <v:stroke joinstyle="miter"/>
              <v:path gradientshapeok="t" o:connecttype="rect"/>
            </v:shapetype>
            <v:shape id="Text Box 1" o:spid="_x0000_s1028" type="#_x0000_t202" alt="Confidential External - Centenary Bank" style="position:absolute;margin-left:0;margin-top:0;width:172pt;height:30.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" filled="f" stroked="f">
              <v:fill o:detectmouseclick="t"/>
              <v:textbox style="mso-fit-shape-to-text:t" inset="0,0,0,15pt">
                <w:txbxContent>
                  <w:p w14:paraId="58E7E93F" w14:textId="53EBF558" w:rsidR="00AC3F0E" w:rsidRPr="00AC3F0E" w:rsidRDefault="00AC3F0E" w:rsidP="00AC3F0E">
                    <w:pPr>
                      <w:spacing w:after="0"/>
                      <w:rPr>
                        <w:rFonts w:ascii="Calibri" w:eastAsia="Calibri" w:hAnsi="Calibri" w:cs="Calibri"/>
                        <w:noProof/>
                        <w:color w:val="0000FF"/>
                        <w:sz w:val="22"/>
                        <w:szCs w:val="22"/>
                      </w:rPr>
                    </w:pPr>
                    <w:r w:rsidRPr="00AC3F0E">
                      <w:rPr>
                        <w:rFonts w:ascii="Calibri" w:eastAsia="Calibri" w:hAnsi="Calibri" w:cs="Calibri"/>
                        <w:noProof/>
                        <w:color w:val="0000FF"/>
                        <w:sz w:val="22"/>
                        <w:szCs w:val="22"/>
                      </w:rPr>
                      <w:t>Confidential External - Centenary Bank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D0593" w14:textId="77777777" w:rsidR="00974969" w:rsidRDefault="00974969" w:rsidP="00AC3F0E">
      <w:pPr>
        <w:spacing w:after="0" w:line="240" w:lineRule="auto"/>
      </w:pPr>
      <w:r>
        <w:separator/>
      </w:r>
    </w:p>
  </w:footnote>
  <w:footnote w:type="continuationSeparator" w:id="0">
    <w:p w14:paraId="173246E7" w14:textId="77777777" w:rsidR="00974969" w:rsidRDefault="00974969" w:rsidP="00AC3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0E"/>
    <w:rsid w:val="00294D95"/>
    <w:rsid w:val="003611D8"/>
    <w:rsid w:val="0080450C"/>
    <w:rsid w:val="00974969"/>
    <w:rsid w:val="00AC3F0E"/>
    <w:rsid w:val="00E8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47FB"/>
  <w15:chartTrackingRefBased/>
  <w15:docId w15:val="{5880B058-DF79-4D3F-B24F-5700DC32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F0E"/>
    <w:rPr>
      <w:rFonts w:eastAsiaTheme="majorEastAsia" w:cstheme="majorBidi"/>
      <w:color w:val="272727" w:themeColor="text1" w:themeTint="D8"/>
    </w:rPr>
  </w:style>
  <w:style w:type="paragraph" w:styleId="Title">
    <w:name w:val="Title"/>
    <w:basedOn w:val="Normal"/>
    <w:next w:val="Normal"/>
    <w:link w:val="TitleChar"/>
    <w:uiPriority w:val="10"/>
    <w:qFormat/>
    <w:rsid w:val="00AC3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F0E"/>
    <w:pPr>
      <w:spacing w:before="160"/>
      <w:jc w:val="center"/>
    </w:pPr>
    <w:rPr>
      <w:i/>
      <w:iCs/>
      <w:color w:val="404040" w:themeColor="text1" w:themeTint="BF"/>
    </w:rPr>
  </w:style>
  <w:style w:type="character" w:customStyle="1" w:styleId="QuoteChar">
    <w:name w:val="Quote Char"/>
    <w:basedOn w:val="DefaultParagraphFont"/>
    <w:link w:val="Quote"/>
    <w:uiPriority w:val="29"/>
    <w:rsid w:val="00AC3F0E"/>
    <w:rPr>
      <w:i/>
      <w:iCs/>
      <w:color w:val="404040" w:themeColor="text1" w:themeTint="BF"/>
    </w:rPr>
  </w:style>
  <w:style w:type="paragraph" w:styleId="ListParagraph">
    <w:name w:val="List Paragraph"/>
    <w:basedOn w:val="Normal"/>
    <w:uiPriority w:val="34"/>
    <w:qFormat/>
    <w:rsid w:val="00AC3F0E"/>
    <w:pPr>
      <w:ind w:left="720"/>
      <w:contextualSpacing/>
    </w:pPr>
  </w:style>
  <w:style w:type="character" w:styleId="IntenseEmphasis">
    <w:name w:val="Intense Emphasis"/>
    <w:basedOn w:val="DefaultParagraphFont"/>
    <w:uiPriority w:val="21"/>
    <w:qFormat/>
    <w:rsid w:val="00AC3F0E"/>
    <w:rPr>
      <w:i/>
      <w:iCs/>
      <w:color w:val="0F4761" w:themeColor="accent1" w:themeShade="BF"/>
    </w:rPr>
  </w:style>
  <w:style w:type="paragraph" w:styleId="IntenseQuote">
    <w:name w:val="Intense Quote"/>
    <w:basedOn w:val="Normal"/>
    <w:next w:val="Normal"/>
    <w:link w:val="IntenseQuoteChar"/>
    <w:uiPriority w:val="30"/>
    <w:qFormat/>
    <w:rsid w:val="00AC3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F0E"/>
    <w:rPr>
      <w:i/>
      <w:iCs/>
      <w:color w:val="0F4761" w:themeColor="accent1" w:themeShade="BF"/>
    </w:rPr>
  </w:style>
  <w:style w:type="character" w:styleId="IntenseReference">
    <w:name w:val="Intense Reference"/>
    <w:basedOn w:val="DefaultParagraphFont"/>
    <w:uiPriority w:val="32"/>
    <w:qFormat/>
    <w:rsid w:val="00AC3F0E"/>
    <w:rPr>
      <w:b/>
      <w:bCs/>
      <w:smallCaps/>
      <w:color w:val="0F4761" w:themeColor="accent1" w:themeShade="BF"/>
      <w:spacing w:val="5"/>
    </w:rPr>
  </w:style>
  <w:style w:type="paragraph" w:styleId="Footer">
    <w:name w:val="footer"/>
    <w:basedOn w:val="Normal"/>
    <w:link w:val="FooterChar"/>
    <w:uiPriority w:val="99"/>
    <w:unhideWhenUsed/>
    <w:rsid w:val="00A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342512">
      <w:bodyDiv w:val="1"/>
      <w:marLeft w:val="0"/>
      <w:marRight w:val="0"/>
      <w:marTop w:val="0"/>
      <w:marBottom w:val="0"/>
      <w:divBdr>
        <w:top w:val="none" w:sz="0" w:space="0" w:color="auto"/>
        <w:left w:val="none" w:sz="0" w:space="0" w:color="auto"/>
        <w:bottom w:val="none" w:sz="0" w:space="0" w:color="auto"/>
        <w:right w:val="none" w:sz="0" w:space="0" w:color="auto"/>
      </w:divBdr>
    </w:div>
    <w:div w:id="126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Wasswa Ernest</dc:creator>
  <cp:keywords/>
  <dc:description/>
  <cp:lastModifiedBy>Nicholas Muganzi</cp:lastModifiedBy>
  <cp:revision>2</cp:revision>
  <dcterms:created xsi:type="dcterms:W3CDTF">2024-08-09T09:09:00Z</dcterms:created>
  <dcterms:modified xsi:type="dcterms:W3CDTF">2024-08-26T10:36:00Z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2a98a7fc,8d52678,4b3b31d3</vt:lpwstr>
  </property>
  <property fmtid="{D5CDD505-2E9C-101B-9397-08002B2CF9AE}" pid="3" name="ClassificationContentMarkingFooterFontProps">
    <vt:lpwstr>#0000ff,11,Calibri</vt:lpwstr>
  </property>
  <property fmtid="{D5CDD505-2E9C-101B-9397-08002B2CF9AE}" pid="4" name="ClassificationContentMarkingFooterText">
    <vt:lpwstr>Confidential External - Centenary Bank</vt:lpwstr>
  </property>
  <property fmtid="{D5CDD505-2E9C-101B-9397-08002B2CF9AE}" pid="5" name="MSIP_Label_436843cc-240b-4bb0-a72e-9040ae9d4220_Enabled">
    <vt:lpwstr>true</vt:lpwstr>
  </property>
  <property fmtid="{D5CDD505-2E9C-101B-9397-08002B2CF9AE}" pid="6" name="MSIP_Label_436843cc-240b-4bb0-a72e-9040ae9d4220_SetDate">
    <vt:lpwstr>2024-08-09T09:17:25Z</vt:lpwstr>
  </property>
  <property fmtid="{D5CDD505-2E9C-101B-9397-08002B2CF9AE}" pid="7" name="MSIP_Label_436843cc-240b-4bb0-a72e-9040ae9d4220_Method">
    <vt:lpwstr>Privileged</vt:lpwstr>
  </property>
  <property fmtid="{D5CDD505-2E9C-101B-9397-08002B2CF9AE}" pid="8" name="MSIP_Label_436843cc-240b-4bb0-a72e-9040ae9d4220_Name">
    <vt:lpwstr>436843cc-240b-4bb0-a72e-9040ae9d4220</vt:lpwstr>
  </property>
  <property fmtid="{D5CDD505-2E9C-101B-9397-08002B2CF9AE}" pid="9" name="MSIP_Label_436843cc-240b-4bb0-a72e-9040ae9d4220_SiteId">
    <vt:lpwstr>41c79b66-e60a-4ca0-896b-f4bfdf6a9678</vt:lpwstr>
  </property>
  <property fmtid="{D5CDD505-2E9C-101B-9397-08002B2CF9AE}" pid="10" name="MSIP_Label_436843cc-240b-4bb0-a72e-9040ae9d4220_ActionId">
    <vt:lpwstr>c6802855-6a5f-4216-93d6-bbc2a04d09ca</vt:lpwstr>
  </property>
  <property fmtid="{D5CDD505-2E9C-101B-9397-08002B2CF9AE}" pid="11" name="MSIP_Label_436843cc-240b-4bb0-a72e-9040ae9d4220_ContentBits">
    <vt:lpwstr>2</vt:lpwstr>
  </property>
</Properties>
</file>